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F3" w:rsidRPr="006409A3" w:rsidRDefault="00056841" w:rsidP="006409A3">
      <w:pPr>
        <w:spacing w:after="0"/>
        <w:ind w:left="153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2946400" cy="78824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aritan Logo Black 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518" cy="80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E0E">
        <w:rPr>
          <w:rFonts w:ascii="Arial Narrow" w:hAnsi="Arial Narrow"/>
          <w:b/>
          <w:bCs/>
          <w:sz w:val="40"/>
          <w:szCs w:val="40"/>
          <w:shd w:val="clear" w:color="auto" w:fill="FFFFFF"/>
        </w:rPr>
        <w:br/>
      </w:r>
    </w:p>
    <w:p w:rsidR="00B423F3" w:rsidRDefault="00EC1E0E">
      <w:pPr>
        <w:spacing w:after="0"/>
        <w:ind w:left="70" w:right="2" w:hanging="10"/>
        <w:jc w:val="center"/>
        <w:rPr>
          <w:b/>
          <w:sz w:val="28"/>
          <w:szCs w:val="28"/>
        </w:rPr>
      </w:pPr>
      <w:r w:rsidRPr="00E5175E">
        <w:rPr>
          <w:b/>
          <w:color w:val="auto"/>
          <w:sz w:val="32"/>
          <w:szCs w:val="28"/>
        </w:rPr>
        <w:t xml:space="preserve">RED FLAGS </w:t>
      </w:r>
      <w:r w:rsidR="00E5175E" w:rsidRPr="00E5175E">
        <w:rPr>
          <w:b/>
          <w:sz w:val="32"/>
          <w:szCs w:val="28"/>
        </w:rPr>
        <w:br/>
      </w:r>
      <w:r w:rsidRPr="00A75342">
        <w:rPr>
          <w:b/>
          <w:sz w:val="28"/>
          <w:szCs w:val="28"/>
        </w:rPr>
        <w:t xml:space="preserve">Displayed by Children after the Death of a Loved One </w:t>
      </w:r>
    </w:p>
    <w:p w:rsidR="00367587" w:rsidRPr="00A75342" w:rsidRDefault="00367587">
      <w:pPr>
        <w:spacing w:after="0"/>
        <w:ind w:left="70" w:right="2" w:hanging="10"/>
        <w:jc w:val="center"/>
        <w:rPr>
          <w:sz w:val="28"/>
          <w:szCs w:val="28"/>
        </w:rPr>
      </w:pPr>
    </w:p>
    <w:tbl>
      <w:tblPr>
        <w:tblStyle w:val="TableGrid0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7"/>
        <w:gridCol w:w="1786"/>
        <w:gridCol w:w="1788"/>
      </w:tblGrid>
      <w:tr w:rsidR="00A75342" w:rsidRPr="005B3FA8" w:rsidTr="00E5175E">
        <w:trPr>
          <w:jc w:val="center"/>
        </w:trPr>
        <w:tc>
          <w:tcPr>
            <w:tcW w:w="1788" w:type="dxa"/>
            <w:vAlign w:val="center"/>
          </w:tcPr>
          <w:p w:rsidR="00A75342" w:rsidRPr="005B3FA8" w:rsidRDefault="00A75342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Withdrawal</w:t>
            </w:r>
          </w:p>
        </w:tc>
        <w:tc>
          <w:tcPr>
            <w:tcW w:w="1788" w:type="dxa"/>
            <w:vAlign w:val="center"/>
          </w:tcPr>
          <w:p w:rsidR="00A75342" w:rsidRPr="005B3FA8" w:rsidRDefault="00A75342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Guilt</w:t>
            </w:r>
          </w:p>
        </w:tc>
        <w:tc>
          <w:tcPr>
            <w:tcW w:w="1788" w:type="dxa"/>
            <w:vAlign w:val="center"/>
          </w:tcPr>
          <w:p w:rsidR="00A75342" w:rsidRPr="005B3FA8" w:rsidRDefault="00A75342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Aggressive Behaviors</w:t>
            </w:r>
          </w:p>
        </w:tc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Panic A</w:t>
            </w:r>
            <w:r w:rsidR="00367587" w:rsidRPr="005B3FA8">
              <w:rPr>
                <w:b/>
                <w:sz w:val="24"/>
                <w:szCs w:val="24"/>
              </w:rPr>
              <w:t>ttacks</w:t>
            </w:r>
          </w:p>
        </w:tc>
        <w:tc>
          <w:tcPr>
            <w:tcW w:w="1788" w:type="dxa"/>
            <w:vAlign w:val="center"/>
          </w:tcPr>
          <w:p w:rsidR="00A75342" w:rsidRPr="005B3FA8" w:rsidRDefault="00A75342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Declining Grades</w:t>
            </w:r>
          </w:p>
        </w:tc>
        <w:tc>
          <w:tcPr>
            <w:tcW w:w="1789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Turning to Alcohol and/or D</w:t>
            </w:r>
            <w:r w:rsidR="00A75342" w:rsidRPr="005B3FA8">
              <w:rPr>
                <w:b/>
                <w:sz w:val="24"/>
                <w:szCs w:val="24"/>
              </w:rPr>
              <w:t>rugs</w:t>
            </w:r>
          </w:p>
        </w:tc>
      </w:tr>
      <w:tr w:rsidR="00A75342" w:rsidRPr="005B3FA8" w:rsidTr="00E5175E">
        <w:trPr>
          <w:jc w:val="center"/>
        </w:trPr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Denying the D</w:t>
            </w:r>
            <w:r w:rsidR="00367587" w:rsidRPr="005B3FA8">
              <w:rPr>
                <w:b/>
                <w:sz w:val="24"/>
                <w:szCs w:val="24"/>
              </w:rPr>
              <w:t xml:space="preserve">eath </w:t>
            </w:r>
            <w:r w:rsidRPr="005B3FA8">
              <w:rPr>
                <w:b/>
                <w:sz w:val="24"/>
                <w:szCs w:val="24"/>
              </w:rPr>
              <w:t>O</w:t>
            </w:r>
            <w:r w:rsidR="00367587" w:rsidRPr="005B3FA8">
              <w:rPr>
                <w:b/>
                <w:sz w:val="24"/>
                <w:szCs w:val="24"/>
              </w:rPr>
              <w:t>ccurred</w:t>
            </w:r>
          </w:p>
        </w:tc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Suicidal T</w:t>
            </w:r>
            <w:r w:rsidR="00367587" w:rsidRPr="005B3FA8">
              <w:rPr>
                <w:b/>
                <w:sz w:val="24"/>
                <w:szCs w:val="24"/>
              </w:rPr>
              <w:t>houghts</w:t>
            </w:r>
          </w:p>
        </w:tc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Homicidal T</w:t>
            </w:r>
            <w:r w:rsidR="00367587" w:rsidRPr="005B3FA8">
              <w:rPr>
                <w:b/>
                <w:sz w:val="24"/>
                <w:szCs w:val="24"/>
              </w:rPr>
              <w:t>houghts</w:t>
            </w:r>
          </w:p>
        </w:tc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Frequent N</w:t>
            </w:r>
            <w:r w:rsidR="00367587" w:rsidRPr="005B3FA8">
              <w:rPr>
                <w:b/>
                <w:sz w:val="24"/>
                <w:szCs w:val="24"/>
              </w:rPr>
              <w:t>ightmares</w:t>
            </w:r>
          </w:p>
        </w:tc>
        <w:tc>
          <w:tcPr>
            <w:tcW w:w="1788" w:type="dxa"/>
            <w:vAlign w:val="center"/>
          </w:tcPr>
          <w:p w:rsidR="00A75342" w:rsidRPr="005B3FA8" w:rsidRDefault="006409A3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Becoming Intensely Interested in D</w:t>
            </w:r>
            <w:r w:rsidR="00367587" w:rsidRPr="005B3FA8">
              <w:rPr>
                <w:b/>
                <w:sz w:val="24"/>
                <w:szCs w:val="24"/>
              </w:rPr>
              <w:t xml:space="preserve">eath or </w:t>
            </w:r>
            <w:r w:rsidRPr="005B3FA8">
              <w:rPr>
                <w:b/>
                <w:sz w:val="24"/>
                <w:szCs w:val="24"/>
              </w:rPr>
              <w:t>Things that are D</w:t>
            </w:r>
            <w:r w:rsidR="00367587" w:rsidRPr="005B3FA8">
              <w:rPr>
                <w:b/>
                <w:sz w:val="24"/>
                <w:szCs w:val="24"/>
              </w:rPr>
              <w:t>ead</w:t>
            </w:r>
          </w:p>
        </w:tc>
        <w:tc>
          <w:tcPr>
            <w:tcW w:w="1789" w:type="dxa"/>
            <w:vAlign w:val="center"/>
          </w:tcPr>
          <w:p w:rsidR="00A75342" w:rsidRPr="005B3FA8" w:rsidRDefault="00367587" w:rsidP="00E5175E">
            <w:pPr>
              <w:spacing w:after="21"/>
              <w:jc w:val="center"/>
              <w:rPr>
                <w:b/>
                <w:sz w:val="24"/>
                <w:szCs w:val="24"/>
              </w:rPr>
            </w:pPr>
            <w:r w:rsidRPr="005B3FA8">
              <w:rPr>
                <w:b/>
                <w:sz w:val="24"/>
                <w:szCs w:val="24"/>
              </w:rPr>
              <w:t>Risky Behaviors (ex. Sexual</w:t>
            </w:r>
            <w:r w:rsidR="006409A3" w:rsidRPr="005B3FA8">
              <w:rPr>
                <w:b/>
                <w:sz w:val="24"/>
                <w:szCs w:val="24"/>
              </w:rPr>
              <w:t xml:space="preserve"> Promiscuity, Disregard for Health or </w:t>
            </w:r>
            <w:r w:rsidR="00E5175E">
              <w:rPr>
                <w:b/>
                <w:sz w:val="24"/>
                <w:szCs w:val="24"/>
              </w:rPr>
              <w:br/>
            </w:r>
            <w:r w:rsidR="006409A3" w:rsidRPr="005B3FA8">
              <w:rPr>
                <w:b/>
                <w:sz w:val="24"/>
                <w:szCs w:val="24"/>
              </w:rPr>
              <w:t>Well-B</w:t>
            </w:r>
            <w:r w:rsidRPr="005B3FA8">
              <w:rPr>
                <w:b/>
                <w:sz w:val="24"/>
                <w:szCs w:val="24"/>
              </w:rPr>
              <w:t>eing)</w:t>
            </w:r>
          </w:p>
        </w:tc>
      </w:tr>
    </w:tbl>
    <w:p w:rsidR="00B423F3" w:rsidRDefault="00EC1E0E">
      <w:pPr>
        <w:spacing w:after="21"/>
        <w:ind w:left="110"/>
        <w:jc w:val="center"/>
      </w:pPr>
      <w:r>
        <w:rPr>
          <w:b/>
          <w:sz w:val="20"/>
        </w:rPr>
        <w:t xml:space="preserve"> </w:t>
      </w:r>
    </w:p>
    <w:p w:rsidR="00E5175E" w:rsidRDefault="00EC1E0E" w:rsidP="00257DE5">
      <w:pPr>
        <w:spacing w:after="4" w:line="250" w:lineRule="auto"/>
        <w:rPr>
          <w:sz w:val="24"/>
          <w:szCs w:val="24"/>
        </w:rPr>
      </w:pPr>
      <w:r w:rsidRPr="007342F3">
        <w:rPr>
          <w:sz w:val="24"/>
          <w:szCs w:val="24"/>
        </w:rPr>
        <w:t>These are some common behaviors displayed by children and teens after the death of a loved one, which may be cause for concern. Children and teens may also react to a death i</w:t>
      </w:r>
      <w:r w:rsidR="00367587" w:rsidRPr="007342F3">
        <w:rPr>
          <w:sz w:val="24"/>
          <w:szCs w:val="24"/>
        </w:rPr>
        <w:t xml:space="preserve">n ways that </w:t>
      </w:r>
      <w:r w:rsidR="00E5175E">
        <w:rPr>
          <w:sz w:val="24"/>
          <w:szCs w:val="24"/>
        </w:rPr>
        <w:t>you do not consider</w:t>
      </w:r>
      <w:r w:rsidRPr="007342F3">
        <w:rPr>
          <w:sz w:val="24"/>
          <w:szCs w:val="24"/>
        </w:rPr>
        <w:t xml:space="preserve"> </w:t>
      </w:r>
      <w:r w:rsidR="00E5175E">
        <w:rPr>
          <w:sz w:val="24"/>
          <w:szCs w:val="24"/>
        </w:rPr>
        <w:t>troubling</w:t>
      </w:r>
      <w:r w:rsidRPr="007342F3">
        <w:rPr>
          <w:sz w:val="24"/>
          <w:szCs w:val="24"/>
        </w:rPr>
        <w:t xml:space="preserve"> behavior. </w:t>
      </w:r>
      <w:r w:rsidR="00E5175E">
        <w:rPr>
          <w:sz w:val="24"/>
          <w:szCs w:val="24"/>
        </w:rPr>
        <w:t xml:space="preserve">Perhaps your </w:t>
      </w:r>
      <w:r w:rsidRPr="007342F3">
        <w:rPr>
          <w:sz w:val="24"/>
          <w:szCs w:val="24"/>
        </w:rPr>
        <w:t>child may not be exhibiting some of these red flag</w:t>
      </w:r>
      <w:r w:rsidR="00E5175E">
        <w:rPr>
          <w:sz w:val="24"/>
          <w:szCs w:val="24"/>
        </w:rPr>
        <w:t>s</w:t>
      </w:r>
      <w:r w:rsidRPr="007342F3">
        <w:rPr>
          <w:sz w:val="24"/>
          <w:szCs w:val="24"/>
        </w:rPr>
        <w:t xml:space="preserve">, </w:t>
      </w:r>
      <w:r w:rsidR="00E5175E">
        <w:rPr>
          <w:sz w:val="24"/>
          <w:szCs w:val="24"/>
        </w:rPr>
        <w:t>but there</w:t>
      </w:r>
      <w:r w:rsidRPr="007342F3">
        <w:rPr>
          <w:sz w:val="24"/>
          <w:szCs w:val="24"/>
        </w:rPr>
        <w:t xml:space="preserve"> </w:t>
      </w:r>
      <w:r w:rsidR="00E5175E">
        <w:rPr>
          <w:sz w:val="24"/>
          <w:szCs w:val="24"/>
        </w:rPr>
        <w:t>could</w:t>
      </w:r>
      <w:r w:rsidRPr="007342F3">
        <w:rPr>
          <w:sz w:val="24"/>
          <w:szCs w:val="24"/>
        </w:rPr>
        <w:t xml:space="preserve"> be </w:t>
      </w:r>
      <w:r w:rsidR="00E5175E">
        <w:rPr>
          <w:sz w:val="24"/>
          <w:szCs w:val="24"/>
        </w:rPr>
        <w:t xml:space="preserve">other </w:t>
      </w:r>
      <w:r w:rsidRPr="007342F3">
        <w:rPr>
          <w:sz w:val="24"/>
          <w:szCs w:val="24"/>
        </w:rPr>
        <w:t>underlying emotions</w:t>
      </w:r>
      <w:r w:rsidR="00E5175E">
        <w:rPr>
          <w:sz w:val="24"/>
          <w:szCs w:val="24"/>
        </w:rPr>
        <w:t xml:space="preserve"> and </w:t>
      </w:r>
      <w:r w:rsidRPr="007342F3">
        <w:rPr>
          <w:sz w:val="24"/>
          <w:szCs w:val="24"/>
        </w:rPr>
        <w:t xml:space="preserve">reactions </w:t>
      </w:r>
      <w:r w:rsidR="00E5175E">
        <w:rPr>
          <w:sz w:val="24"/>
          <w:szCs w:val="24"/>
        </w:rPr>
        <w:t xml:space="preserve">that </w:t>
      </w:r>
      <w:r w:rsidRPr="007342F3">
        <w:rPr>
          <w:sz w:val="24"/>
          <w:szCs w:val="24"/>
        </w:rPr>
        <w:t>are not obvious.</w:t>
      </w:r>
    </w:p>
    <w:p w:rsidR="00E5175E" w:rsidRDefault="00E5175E" w:rsidP="00257DE5">
      <w:pPr>
        <w:spacing w:after="4" w:line="250" w:lineRule="auto"/>
        <w:rPr>
          <w:sz w:val="24"/>
          <w:szCs w:val="24"/>
        </w:rPr>
      </w:pPr>
    </w:p>
    <w:p w:rsidR="00B423F3" w:rsidRPr="00E5175E" w:rsidRDefault="00EC1E0E" w:rsidP="00E5175E">
      <w:pPr>
        <w:spacing w:after="4" w:line="250" w:lineRule="auto"/>
        <w:jc w:val="center"/>
        <w:rPr>
          <w:b/>
          <w:sz w:val="24"/>
          <w:szCs w:val="24"/>
        </w:rPr>
      </w:pPr>
      <w:r w:rsidRPr="00E5175E">
        <w:rPr>
          <w:b/>
          <w:sz w:val="24"/>
          <w:szCs w:val="24"/>
        </w:rPr>
        <w:t xml:space="preserve">If you have any questions or concerns about your child’s behavior, please contact </w:t>
      </w:r>
      <w:r w:rsidR="00EC1459">
        <w:rPr>
          <w:b/>
          <w:sz w:val="24"/>
          <w:szCs w:val="24"/>
        </w:rPr>
        <w:t>your child’s medical provider. T</w:t>
      </w:r>
      <w:r w:rsidR="00E5175E">
        <w:rPr>
          <w:b/>
          <w:sz w:val="24"/>
          <w:szCs w:val="24"/>
        </w:rPr>
        <w:t xml:space="preserve">he </w:t>
      </w:r>
      <w:r w:rsidRPr="00E5175E">
        <w:rPr>
          <w:b/>
          <w:sz w:val="24"/>
          <w:szCs w:val="24"/>
        </w:rPr>
        <w:t>Samaritan Center</w:t>
      </w:r>
      <w:r w:rsidR="00EC1459">
        <w:rPr>
          <w:b/>
          <w:sz w:val="24"/>
          <w:szCs w:val="24"/>
        </w:rPr>
        <w:t xml:space="preserve"> for Grief Support</w:t>
      </w:r>
      <w:r w:rsidRPr="00E5175E">
        <w:rPr>
          <w:b/>
          <w:sz w:val="24"/>
          <w:szCs w:val="24"/>
        </w:rPr>
        <w:t xml:space="preserve"> </w:t>
      </w:r>
      <w:r w:rsidR="00EC1459">
        <w:rPr>
          <w:b/>
          <w:sz w:val="24"/>
          <w:szCs w:val="24"/>
        </w:rPr>
        <w:t xml:space="preserve">is here to address questions. We can be reached M-F between 8:30 AM and 4 PM at 856-596-8550. </w:t>
      </w:r>
    </w:p>
    <w:p w:rsidR="00B423F3" w:rsidRPr="007342F3" w:rsidRDefault="00EC1E0E">
      <w:pPr>
        <w:spacing w:after="0"/>
        <w:rPr>
          <w:sz w:val="24"/>
          <w:szCs w:val="24"/>
        </w:rPr>
      </w:pPr>
      <w:r w:rsidRPr="007342F3">
        <w:rPr>
          <w:sz w:val="24"/>
          <w:szCs w:val="24"/>
        </w:rPr>
        <w:t xml:space="preserve"> </w:t>
      </w:r>
    </w:p>
    <w:p w:rsidR="00B423F3" w:rsidRPr="00367587" w:rsidRDefault="00EC1E0E" w:rsidP="00E5175E">
      <w:pPr>
        <w:spacing w:after="0"/>
        <w:jc w:val="center"/>
        <w:rPr>
          <w:sz w:val="24"/>
          <w:szCs w:val="24"/>
        </w:rPr>
      </w:pPr>
      <w:r w:rsidRPr="007342F3">
        <w:rPr>
          <w:b/>
          <w:sz w:val="24"/>
          <w:szCs w:val="24"/>
        </w:rPr>
        <w:t xml:space="preserve">In the event of an emergency or crisis situation, </w:t>
      </w:r>
      <w:r w:rsidR="00E5175E">
        <w:rPr>
          <w:b/>
          <w:sz w:val="24"/>
          <w:szCs w:val="24"/>
        </w:rPr>
        <w:br/>
      </w:r>
      <w:r w:rsidRPr="007342F3">
        <w:rPr>
          <w:b/>
          <w:sz w:val="24"/>
          <w:szCs w:val="24"/>
        </w:rPr>
        <w:t>please contact your area’s local crisis intervention agency.</w:t>
      </w:r>
    </w:p>
    <w:p w:rsidR="00B423F3" w:rsidRDefault="00EC1E0E">
      <w:pPr>
        <w:spacing w:after="0"/>
      </w:pPr>
      <w:r>
        <w:rPr>
          <w:sz w:val="20"/>
        </w:rPr>
        <w:t xml:space="preserve"> </w:t>
      </w:r>
    </w:p>
    <w:tbl>
      <w:tblPr>
        <w:tblStyle w:val="TableGrid0"/>
        <w:tblW w:w="0" w:type="auto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3536"/>
        <w:gridCol w:w="3536"/>
        <w:gridCol w:w="3534"/>
      </w:tblGrid>
      <w:tr w:rsidR="001F63C4" w:rsidTr="00E5175E">
        <w:trPr>
          <w:gridBefore w:val="1"/>
          <w:wBefore w:w="6" w:type="dxa"/>
        </w:trPr>
        <w:tc>
          <w:tcPr>
            <w:tcW w:w="3536" w:type="dxa"/>
            <w:vAlign w:val="center"/>
          </w:tcPr>
          <w:p w:rsidR="001F63C4" w:rsidRPr="001F63C4" w:rsidRDefault="001F63C4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Atlantic County:</w:t>
            </w:r>
          </w:p>
          <w:p w:rsidR="001F63C4" w:rsidRDefault="001F63C4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>Pysch Intervention Program at Atlanticare Regional Medical Center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- Atlantic City 609-344-1118</w:t>
            </w:r>
          </w:p>
        </w:tc>
        <w:tc>
          <w:tcPr>
            <w:tcW w:w="3536" w:type="dxa"/>
            <w:vAlign w:val="center"/>
          </w:tcPr>
          <w:p w:rsidR="001F63C4" w:rsidRPr="001F63C4" w:rsidRDefault="001F63C4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Burlington County:</w:t>
            </w:r>
          </w:p>
          <w:p w:rsidR="001F63C4" w:rsidRDefault="001F63C4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Screening and Crisis Intervention Program (SCIP)-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Mt. Holly</w:t>
            </w:r>
            <w:r w:rsidR="00E5175E">
              <w:rPr>
                <w:rFonts w:asciiTheme="minorHAnsi" w:eastAsiaTheme="minorHAnsi" w:hAnsiTheme="minorHAnsi" w:cstheme="minorHAnsi"/>
                <w:color w:val="auto"/>
              </w:rPr>
              <w:br/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 xml:space="preserve"> 609-261-8000</w:t>
            </w:r>
          </w:p>
        </w:tc>
        <w:tc>
          <w:tcPr>
            <w:tcW w:w="3534" w:type="dxa"/>
            <w:vAlign w:val="center"/>
          </w:tcPr>
          <w:p w:rsidR="001F63C4" w:rsidRPr="001F63C4" w:rsidRDefault="001F63C4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Camden County:</w:t>
            </w:r>
          </w:p>
          <w:p w:rsidR="001F63C4" w:rsidRDefault="001F63C4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>Oaks Integrated Care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- Cherry Hill 856-428-4357</w:t>
            </w:r>
          </w:p>
        </w:tc>
      </w:tr>
      <w:tr w:rsidR="00E5175E" w:rsidTr="00E5175E">
        <w:trPr>
          <w:gridBefore w:val="1"/>
          <w:wBefore w:w="6" w:type="dxa"/>
        </w:trPr>
        <w:tc>
          <w:tcPr>
            <w:tcW w:w="3536" w:type="dxa"/>
            <w:vAlign w:val="center"/>
          </w:tcPr>
          <w:p w:rsidR="00E5175E" w:rsidRPr="001F63C4" w:rsidRDefault="00E5175E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Cape May County:</w:t>
            </w:r>
          </w:p>
          <w:p w:rsidR="00E5175E" w:rsidRDefault="00E5175E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Agenda Integrated Health-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Cape May Court House 609-465-5999</w:t>
            </w:r>
          </w:p>
        </w:tc>
        <w:tc>
          <w:tcPr>
            <w:tcW w:w="3536" w:type="dxa"/>
            <w:vAlign w:val="center"/>
          </w:tcPr>
          <w:p w:rsidR="00E5175E" w:rsidRPr="001F63C4" w:rsidRDefault="00E5175E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Cumberland County:</w:t>
            </w:r>
          </w:p>
          <w:p w:rsidR="00E5175E" w:rsidRDefault="00E5175E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Cumberland County Guidance Center at Inspira Medical Center-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Bridgeton 856-455-5555</w:t>
            </w:r>
          </w:p>
        </w:tc>
        <w:tc>
          <w:tcPr>
            <w:tcW w:w="3534" w:type="dxa"/>
            <w:vAlign w:val="center"/>
          </w:tcPr>
          <w:p w:rsidR="00E5175E" w:rsidRPr="001F63C4" w:rsidRDefault="00E5175E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Gloucester County:</w:t>
            </w:r>
          </w:p>
          <w:p w:rsidR="00E5175E" w:rsidRDefault="00E5175E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Agenda Integrated Health-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Woodbury 856-845-9100</w:t>
            </w:r>
          </w:p>
        </w:tc>
      </w:tr>
      <w:tr w:rsidR="00E5175E" w:rsidTr="00E5175E">
        <w:tc>
          <w:tcPr>
            <w:tcW w:w="3542" w:type="dxa"/>
            <w:gridSpan w:val="2"/>
            <w:vAlign w:val="center"/>
          </w:tcPr>
          <w:p w:rsidR="00E5175E" w:rsidRPr="001F63C4" w:rsidRDefault="00E5175E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Mercer County:</w:t>
            </w:r>
          </w:p>
          <w:p w:rsidR="00E5175E" w:rsidRDefault="00E5175E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Emergency Mental Health Services-Psychiatric Screening at Capital Health-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609-396-HELP (4356)</w:t>
            </w:r>
          </w:p>
        </w:tc>
        <w:tc>
          <w:tcPr>
            <w:tcW w:w="3536" w:type="dxa"/>
            <w:vAlign w:val="center"/>
          </w:tcPr>
          <w:p w:rsidR="00E5175E" w:rsidRDefault="00E5175E" w:rsidP="00E5175E">
            <w:pPr>
              <w:jc w:val="center"/>
            </w:pPr>
          </w:p>
        </w:tc>
        <w:tc>
          <w:tcPr>
            <w:tcW w:w="3534" w:type="dxa"/>
            <w:vAlign w:val="center"/>
          </w:tcPr>
          <w:p w:rsidR="00E5175E" w:rsidRPr="001F63C4" w:rsidRDefault="00E5175E" w:rsidP="00E5175E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  <w:u w:val="single"/>
              </w:rPr>
              <w:t>Salem County:</w:t>
            </w:r>
          </w:p>
          <w:p w:rsidR="00E5175E" w:rsidRDefault="00E5175E" w:rsidP="00E5175E">
            <w:pPr>
              <w:jc w:val="center"/>
            </w:pP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>Healthcare Commons Inc</w:t>
            </w:r>
            <w:r>
              <w:rPr>
                <w:rFonts w:asciiTheme="minorHAnsi" w:eastAsiaTheme="minorHAnsi" w:hAnsiTheme="minorHAnsi" w:cstheme="minorHAnsi"/>
                <w:b/>
                <w:color w:val="auto"/>
              </w:rPr>
              <w:t>.</w:t>
            </w:r>
            <w:r w:rsidRPr="001F63C4">
              <w:rPr>
                <w:rFonts w:asciiTheme="minorHAnsi" w:eastAsiaTheme="minorHAnsi" w:hAnsiTheme="minorHAnsi" w:cstheme="minorHAnsi"/>
                <w:b/>
                <w:color w:val="auto"/>
              </w:rPr>
              <w:t xml:space="preserve"> at Memorial Hospital System of Salem County- </w:t>
            </w:r>
            <w:r w:rsidRPr="001F63C4">
              <w:rPr>
                <w:rFonts w:asciiTheme="minorHAnsi" w:eastAsiaTheme="minorHAnsi" w:hAnsiTheme="minorHAnsi" w:cstheme="minorHAnsi"/>
                <w:color w:val="auto"/>
              </w:rPr>
              <w:t>Salem 856-299-3001</w:t>
            </w:r>
          </w:p>
        </w:tc>
      </w:tr>
    </w:tbl>
    <w:p w:rsidR="00B423F3" w:rsidRPr="007342F3" w:rsidRDefault="001F63C4" w:rsidP="007342F3">
      <w:pPr>
        <w:pStyle w:val="Heading1"/>
        <w:ind w:left="3600"/>
        <w:jc w:val="left"/>
        <w:rPr>
          <w:b w:val="0"/>
          <w:sz w:val="22"/>
        </w:rPr>
      </w:pPr>
      <w:r>
        <w:rPr>
          <w:b w:val="0"/>
          <w:sz w:val="22"/>
        </w:rPr>
        <w:t xml:space="preserve">         </w:t>
      </w:r>
      <w:r w:rsidR="00E5175E">
        <w:rPr>
          <w:b w:val="0"/>
          <w:sz w:val="22"/>
        </w:rPr>
        <w:br/>
      </w:r>
      <w:r w:rsidR="006409A3">
        <w:t>Sama</w:t>
      </w:r>
      <w:r w:rsidR="005B3FA8">
        <w:t>ritan Center for Grief Support</w:t>
      </w:r>
    </w:p>
    <w:p w:rsidR="00B423F3" w:rsidRPr="007342F3" w:rsidRDefault="00EC1E0E" w:rsidP="007342F3">
      <w:pPr>
        <w:spacing w:after="11" w:line="248" w:lineRule="auto"/>
        <w:ind w:left="3096" w:right="2912" w:hanging="10"/>
        <w:jc w:val="center"/>
        <w:rPr>
          <w:sz w:val="24"/>
        </w:rPr>
      </w:pPr>
      <w:r w:rsidRPr="007342F3">
        <w:rPr>
          <w:b/>
          <w:sz w:val="24"/>
        </w:rPr>
        <w:t>3906 Church Road</w:t>
      </w:r>
      <w:r w:rsidR="00E5175E">
        <w:rPr>
          <w:b/>
          <w:sz w:val="24"/>
        </w:rPr>
        <w:t xml:space="preserve">, </w:t>
      </w:r>
      <w:r w:rsidRPr="007342F3">
        <w:rPr>
          <w:b/>
          <w:sz w:val="24"/>
        </w:rPr>
        <w:t>Mt. Laurel, NJ 08054</w:t>
      </w:r>
      <w:r w:rsidR="007342F3" w:rsidRPr="007342F3">
        <w:rPr>
          <w:b/>
          <w:sz w:val="24"/>
        </w:rPr>
        <w:t xml:space="preserve"> </w:t>
      </w:r>
      <w:r w:rsidR="00E5175E">
        <w:rPr>
          <w:b/>
          <w:sz w:val="24"/>
        </w:rPr>
        <w:br/>
        <w:t xml:space="preserve"> (856) 586-8550 ● </w:t>
      </w:r>
      <w:r w:rsidRPr="007342F3">
        <w:rPr>
          <w:b/>
          <w:sz w:val="24"/>
        </w:rPr>
        <w:t>SamaritanNJ.org</w:t>
      </w:r>
      <w:r>
        <w:rPr>
          <w:sz w:val="20"/>
        </w:rPr>
        <w:t xml:space="preserve"> </w:t>
      </w:r>
    </w:p>
    <w:sectPr w:rsidR="00B423F3" w:rsidRPr="007342F3">
      <w:pgSz w:w="12240" w:h="15840"/>
      <w:pgMar w:top="720" w:right="780" w:bottom="971" w:left="7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41" w:rsidRDefault="008E6541" w:rsidP="00EC1E0E">
      <w:pPr>
        <w:spacing w:after="0" w:line="240" w:lineRule="auto"/>
      </w:pPr>
      <w:r>
        <w:separator/>
      </w:r>
    </w:p>
  </w:endnote>
  <w:endnote w:type="continuationSeparator" w:id="0">
    <w:p w:rsidR="008E6541" w:rsidRDefault="008E6541" w:rsidP="00EC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41" w:rsidRDefault="008E6541" w:rsidP="00EC1E0E">
      <w:pPr>
        <w:spacing w:after="0" w:line="240" w:lineRule="auto"/>
      </w:pPr>
      <w:r>
        <w:separator/>
      </w:r>
    </w:p>
  </w:footnote>
  <w:footnote w:type="continuationSeparator" w:id="0">
    <w:p w:rsidR="008E6541" w:rsidRDefault="008E6541" w:rsidP="00EC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F3"/>
    <w:rsid w:val="00056841"/>
    <w:rsid w:val="001F63C4"/>
    <w:rsid w:val="00257DE5"/>
    <w:rsid w:val="00367587"/>
    <w:rsid w:val="005B3FA8"/>
    <w:rsid w:val="006409A3"/>
    <w:rsid w:val="007112B5"/>
    <w:rsid w:val="007342F3"/>
    <w:rsid w:val="008E6541"/>
    <w:rsid w:val="00A75342"/>
    <w:rsid w:val="00B423F3"/>
    <w:rsid w:val="00E5175E"/>
    <w:rsid w:val="00EC1459"/>
    <w:rsid w:val="00E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37007-2947-49BD-952E-D5A7AA7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9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E0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0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1F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186F46-984D-42E8-B438-E725C33C2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3E9ED-992A-43D3-9B5F-B6112B7BBF6C}"/>
</file>

<file path=customXml/itemProps3.xml><?xml version="1.0" encoding="utf-8"?>
<ds:datastoreItem xmlns:ds="http://schemas.openxmlformats.org/officeDocument/2006/customXml" ds:itemID="{4D7994E7-DDAD-4F68-9A54-1FDDD92A7944}"/>
</file>

<file path=customXml/itemProps4.xml><?xml version="1.0" encoding="utf-8"?>
<ds:datastoreItem xmlns:ds="http://schemas.openxmlformats.org/officeDocument/2006/customXml" ds:itemID="{DACD1B38-FD0D-4798-9545-A90DE8799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FLAGS</vt:lpstr>
    </vt:vector>
  </TitlesOfParts>
  <Company>Samaritan Healthcare and Hospice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FLAGS</dc:title>
  <dc:subject/>
  <dc:creator>amandac</dc:creator>
  <cp:keywords/>
  <cp:lastModifiedBy>Joan Ordille</cp:lastModifiedBy>
  <cp:revision>2</cp:revision>
  <cp:lastPrinted>2022-05-10T15:57:00Z</cp:lastPrinted>
  <dcterms:created xsi:type="dcterms:W3CDTF">2022-06-15T17:28:00Z</dcterms:created>
  <dcterms:modified xsi:type="dcterms:W3CDTF">2022-06-15T17:28:00Z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</Properties>
</file>